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51" w:rsidRDefault="00047FB8">
      <w:pPr>
        <w:pStyle w:val="aa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-  положение </w:t>
      </w:r>
    </w:p>
    <w:p w:rsidR="00CA1951" w:rsidRDefault="00047FB8">
      <w:pPr>
        <w:pStyle w:val="aa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Областного  хореографического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конкурса «Танцевальный Вектор»</w:t>
      </w:r>
    </w:p>
    <w:p w:rsidR="00CA1951" w:rsidRDefault="00CA195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951" w:rsidRDefault="00047FB8">
      <w:pPr>
        <w:pStyle w:val="aa"/>
        <w:jc w:val="both"/>
      </w:pPr>
      <w:r w:rsidRPr="00047FB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Областной  хореографическом конкурс «Танцевальный Вектор»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в ГАУ ДО «Астраханский областной центр развития творчества»   с 15 сентября по </w:t>
      </w:r>
      <w:r w:rsidR="00CB1C0C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2021 года. Итоги публикуются 15 </w:t>
      </w:r>
      <w:r w:rsidR="00CB1C0C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на сайте Центра  творчества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5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center</w:t>
        </w:r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dt</w:t>
        </w:r>
        <w:proofErr w:type="spellEnd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CA1951" w:rsidRDefault="00047FB8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конкурса </w:t>
      </w:r>
      <w:r>
        <w:rPr>
          <w:rFonts w:ascii="Times New Roman" w:hAnsi="Times New Roman" w:cs="Times New Roman"/>
          <w:sz w:val="28"/>
          <w:szCs w:val="28"/>
        </w:rPr>
        <w:t xml:space="preserve"> -  развитие  традиций  хореографического  искусства,  выявление  и  поддержка талантливых  коллективов,  создание  среды  для  творческого  развития  детских хореографических коллективов, обмена опытом.</w:t>
      </w:r>
    </w:p>
    <w:p w:rsidR="00CA1951" w:rsidRDefault="00047FB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Задачи конкурса:</w:t>
      </w:r>
    </w:p>
    <w:p w:rsidR="00CA1951" w:rsidRDefault="00047FB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популяризировать творчество юных талантов;</w:t>
      </w:r>
    </w:p>
    <w:p w:rsidR="00CA1951" w:rsidRDefault="00047FB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и поддерживать юные дарования;</w:t>
      </w:r>
    </w:p>
    <w:p w:rsidR="00CA1951" w:rsidRDefault="00047FB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росту исполнительского мастерства творческих коллективов;</w:t>
      </w:r>
    </w:p>
    <w:p w:rsidR="00CA1951" w:rsidRDefault="00047FB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-создавать условия для установления и развития творческих контактов между коллективами и их руководителями;</w:t>
      </w:r>
    </w:p>
    <w:p w:rsidR="00CA1951" w:rsidRDefault="00047FB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художественный уровень репертуара и исполнительского мастерства;</w:t>
      </w:r>
    </w:p>
    <w:p w:rsidR="00CA1951" w:rsidRDefault="00047FB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профессиональный уровень руководителей.</w:t>
      </w:r>
    </w:p>
    <w:p w:rsidR="00CA1951" w:rsidRDefault="00047FB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Жюри конкурса</w:t>
      </w:r>
    </w:p>
    <w:p w:rsidR="00CA1951" w:rsidRDefault="00047FB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жюри формируется из специалистов в области хореографии, а так же руководителей областного методического объединения педагогов дополнительного образования Астраханской области. </w:t>
      </w:r>
    </w:p>
    <w:p w:rsidR="00CA1951" w:rsidRDefault="00047FB8">
      <w:pPr>
        <w:pStyle w:val="aa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Порядок проведения конкурса.</w:t>
      </w:r>
    </w:p>
    <w:p w:rsidR="00CA1951" w:rsidRDefault="00047FB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конкурсе  могут  принимать  участие   творческие коллективы центров дополнительного образования, Домов культуры, детских музыкальных школ, дошкольных учреждений, общеобразовательных школ,  учреждений среднего профессионального образования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Астрахани,  Астраханской области. Выступления  участников  конкурса  оцениваются  жюри  и  присваиваются места.  Итогом обсуждения конкурсных выступлений является протокол заседания членов жюри. Участниками конкурса  могут быть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возрасте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4 до 18 лет. Оргкомитет берёт на себя затраты по организации конкурса. </w:t>
      </w:r>
    </w:p>
    <w:p w:rsidR="00CA1951" w:rsidRDefault="00047FB8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Условия конкурса </w:t>
      </w:r>
    </w:p>
    <w:p w:rsidR="00CA1951" w:rsidRDefault="00047FB8">
      <w:pPr>
        <w:pStyle w:val="aa"/>
      </w:pPr>
      <w:r>
        <w:rPr>
          <w:rFonts w:ascii="Times New Roman" w:hAnsi="Times New Roman" w:cs="Times New Roman"/>
          <w:sz w:val="28"/>
          <w:szCs w:val="28"/>
        </w:rPr>
        <w:tab/>
        <w:t xml:space="preserve"> Количество участников хореографических коллективов не ограничено. </w:t>
      </w:r>
    </w:p>
    <w:p w:rsidR="00CA1951" w:rsidRDefault="00047FB8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Участники конкурса исполняют по одному танцу в заявленной номинации.</w:t>
      </w:r>
    </w:p>
    <w:p w:rsidR="00CA1951" w:rsidRDefault="00047FB8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Каждый коллектив имеет право участвовать в нескольких номинациях.</w:t>
      </w:r>
    </w:p>
    <w:p w:rsidR="00CA1951" w:rsidRDefault="00047FB8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В каждой возрастной группе допускается до 20% участников из другой возрастной группы.</w:t>
      </w:r>
    </w:p>
    <w:p w:rsidR="00CA1951" w:rsidRDefault="00047FB8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Номинации: народный танец, (стилизованный народный), классический, детский танец, эстрадный танец, современный танец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спортивный танец, свободная пластика,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хип</w:t>
      </w:r>
      <w:proofErr w:type="spellEnd"/>
      <w:r>
        <w:rPr>
          <w:rFonts w:ascii="Times New Roman" w:hAnsi="Times New Roman" w:cs="Times New Roman"/>
          <w:sz w:val="28"/>
          <w:szCs w:val="28"/>
        </w:rPr>
        <w:t>–хоп, модерн, джаз, бальные танцы.</w:t>
      </w:r>
    </w:p>
    <w:p w:rsidR="00CA1951" w:rsidRDefault="00047FB8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- Соло;</w:t>
      </w:r>
    </w:p>
    <w:p w:rsidR="00CA1951" w:rsidRDefault="00047FB8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- Дуэт;</w:t>
      </w:r>
    </w:p>
    <w:p w:rsidR="00CA1951" w:rsidRDefault="00047FB8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- Малые формы (3-5 человек)</w:t>
      </w:r>
    </w:p>
    <w:p w:rsidR="00CA1951" w:rsidRDefault="00047FB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 (от 6  человек и более).</w:t>
      </w:r>
    </w:p>
    <w:p w:rsidR="00CA1951" w:rsidRDefault="00047FB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 в пяти  возрастных категориях:</w:t>
      </w:r>
    </w:p>
    <w:p w:rsidR="00CA1951" w:rsidRDefault="00CA195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A1951" w:rsidRDefault="00047FB8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 возрастная категория: 4-6 лет;</w:t>
      </w:r>
    </w:p>
    <w:p w:rsidR="00CA1951" w:rsidRDefault="00047FB8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2 возрастная категория  7-10 лет;</w:t>
      </w:r>
    </w:p>
    <w:p w:rsidR="00CA1951" w:rsidRDefault="00047FB8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3 возрастная категория: 11-13 лет;</w:t>
      </w:r>
    </w:p>
    <w:p w:rsidR="00CA1951" w:rsidRDefault="00047FB8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4 возрастная категория: 14-18 лет;</w:t>
      </w:r>
    </w:p>
    <w:p w:rsidR="00CA1951" w:rsidRDefault="00047FB8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5 возрастная категория: смешанные возрастные группы.</w:t>
      </w:r>
    </w:p>
    <w:p w:rsidR="00CA1951" w:rsidRDefault="00047FB8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CA1951" w:rsidRDefault="00047FB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Исполнительское мастерство;</w:t>
      </w:r>
    </w:p>
    <w:p w:rsidR="00CA1951" w:rsidRDefault="00047FB8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•  Соответствие репертуара возрастным особенностям исполнителей;</w:t>
      </w:r>
    </w:p>
    <w:p w:rsidR="00CA1951" w:rsidRDefault="00047FB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Сценичность (пластика, костюм, реквизит, культура исполнения);</w:t>
      </w:r>
    </w:p>
    <w:p w:rsidR="00CA1951" w:rsidRDefault="00047FB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Артистизм, раскрытие художественного образа;</w:t>
      </w:r>
    </w:p>
    <w:p w:rsidR="00CA1951" w:rsidRDefault="00047FB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Композиционное построение номера.</w:t>
      </w:r>
    </w:p>
    <w:p w:rsidR="00CA1951" w:rsidRDefault="00047FB8">
      <w:pPr>
        <w:pStyle w:val="aa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A1951" w:rsidRDefault="00047FB8">
      <w:pPr>
        <w:pStyle w:val="aa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Подведение итогов, награждение победителей</w:t>
      </w:r>
    </w:p>
    <w:p w:rsidR="00CA1951" w:rsidRDefault="00047FB8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конкурсных выступлений  </w:t>
      </w:r>
      <w:r>
        <w:rPr>
          <w:rFonts w:ascii="Times New Roman" w:hAnsi="Times New Roman" w:cs="Times New Roman"/>
          <w:sz w:val="28"/>
          <w:szCs w:val="28"/>
        </w:rPr>
        <w:t xml:space="preserve">Областного  хореографического конкурса  «Танцевальный Вектор»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награждение проводится с учетом возрастных категорий, и предусматривают присуждения звания обладателя лауреатов </w:t>
      </w:r>
      <w:bookmarkStart w:id="0" w:name="__DdeLink__855_2146920180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трех призовых мест</w:t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(I, II, III степень). </w:t>
      </w:r>
    </w:p>
    <w:p w:rsidR="00CA1951" w:rsidRDefault="00047FB8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Жюри оставляет за собой право присуждать «Гран-при» в любой из номинаций. </w:t>
      </w:r>
    </w:p>
    <w:p w:rsidR="00CA1951" w:rsidRDefault="00047FB8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Число призовых мест определяет жюри по итогам конкурса. Решение жюри обжалованию не подлежит.</w:t>
      </w:r>
    </w:p>
    <w:p w:rsidR="00CA1951" w:rsidRDefault="00CA1951">
      <w:pPr>
        <w:pStyle w:val="aa"/>
        <w:jc w:val="both"/>
        <w:rPr>
          <w:rFonts w:cs="Times New Roman"/>
        </w:rPr>
      </w:pPr>
    </w:p>
    <w:p w:rsidR="00CA1951" w:rsidRDefault="00047FB8">
      <w:pPr>
        <w:pStyle w:val="aa"/>
        <w:jc w:val="both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 в конкурсе.</w:t>
      </w:r>
    </w:p>
    <w:p w:rsidR="00CA1951" w:rsidRDefault="00047FB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номинации, оплачивается каждый видео  номер. </w:t>
      </w:r>
    </w:p>
    <w:p w:rsidR="00CA1951" w:rsidRDefault="00047FB8">
      <w:pPr>
        <w:pStyle w:val="aa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Стоимость одного видео номера (о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плачивается каждый номер)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00 (триста)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рублей.</w:t>
      </w:r>
    </w:p>
    <w:p w:rsidR="00CA1951" w:rsidRDefault="0004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желающих приобрести дипломы победителя фестиваля индивидуально, на каждого участника можно оставить заявку на  </w:t>
      </w:r>
      <w:r>
        <w:rPr>
          <w:rStyle w:val="-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>
        <w:rPr>
          <w:rStyle w:val="-"/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Style w:val="-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Style w:val="-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estet</w:t>
        </w:r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center</w:t>
        </w:r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dt</w:t>
        </w:r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:rsidR="00CA1951" w:rsidRDefault="00047FB8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Стоимость одного диплома 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A1951" w:rsidRDefault="00047FB8">
      <w:pPr>
        <w:pStyle w:val="aa"/>
        <w:ind w:left="7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УЧАСТИЯ В КОНКУРСЕ.</w:t>
      </w:r>
    </w:p>
    <w:p w:rsidR="00CA1951" w:rsidRDefault="00047FB8">
      <w:pPr>
        <w:pStyle w:val="aa"/>
        <w:ind w:firstLine="7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Конкурсные документы принимаются только Единым пакетом! строго по электронной почте с пометкой «Танцевальный Вектор»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 15 сентября по </w:t>
      </w:r>
      <w:r w:rsidR="00CB1C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ноября (включительно) 2021 года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адрес Оргкомитета  </w:t>
      </w:r>
    </w:p>
    <w:p w:rsidR="00CA1951" w:rsidRDefault="00047FB8">
      <w:pPr>
        <w:pStyle w:val="aa"/>
        <w:ind w:firstLine="720"/>
        <w:jc w:val="both"/>
      </w:pPr>
      <w:proofErr w:type="gramStart"/>
      <w:r>
        <w:rPr>
          <w:rStyle w:val="-"/>
          <w:rFonts w:ascii="Times New Roman" w:hAnsi="Times New Roman" w:cs="Times New Roman"/>
          <w:b/>
          <w:bCs/>
          <w:color w:val="000000"/>
          <w:sz w:val="28"/>
          <w:szCs w:val="28"/>
          <w:u w:val="none"/>
          <w:lang w:val="en-US"/>
        </w:rPr>
        <w:t>e</w:t>
      </w:r>
      <w:r>
        <w:rPr>
          <w:rStyle w:val="-"/>
          <w:rFonts w:ascii="Times New Roman" w:hAnsi="Times New Roman" w:cs="Times New Roman"/>
          <w:b/>
          <w:bCs/>
          <w:color w:val="000000"/>
          <w:sz w:val="28"/>
          <w:szCs w:val="28"/>
          <w:u w:val="none"/>
        </w:rPr>
        <w:t>-</w:t>
      </w:r>
      <w:r>
        <w:rPr>
          <w:rStyle w:val="-"/>
          <w:rFonts w:ascii="Times New Roman" w:hAnsi="Times New Roman" w:cs="Times New Roman"/>
          <w:b/>
          <w:bCs/>
          <w:color w:val="000000"/>
          <w:sz w:val="28"/>
          <w:szCs w:val="28"/>
          <w:u w:val="none"/>
          <w:lang w:val="en-US"/>
        </w:rPr>
        <w:t>mail</w:t>
      </w:r>
      <w:proofErr w:type="gramEnd"/>
      <w:r>
        <w:rPr>
          <w:rStyle w:val="-"/>
          <w:rFonts w:ascii="Times New Roman" w:hAnsi="Times New Roman" w:cs="Times New Roman"/>
          <w:b/>
          <w:bCs/>
          <w:color w:val="000000"/>
          <w:sz w:val="28"/>
          <w:szCs w:val="28"/>
          <w:u w:val="none"/>
        </w:rPr>
        <w:t xml:space="preserve">: </w:t>
      </w:r>
      <w:hyperlink r:id="rId7">
        <w:r>
          <w:rPr>
            <w:rStyle w:val="-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lang w:val="en-US"/>
          </w:rPr>
          <w:t>estet</w:t>
        </w:r>
        <w:r>
          <w:rPr>
            <w:rStyle w:val="-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@</w:t>
        </w:r>
        <w:r>
          <w:rPr>
            <w:rStyle w:val="-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lang w:val="en-US"/>
          </w:rPr>
          <w:t>center</w:t>
        </w:r>
        <w:r>
          <w:rPr>
            <w:rStyle w:val="-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-</w:t>
        </w:r>
        <w:r>
          <w:rPr>
            <w:rStyle w:val="-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lang w:val="en-US"/>
          </w:rPr>
          <w:t>dt</w:t>
        </w:r>
        <w:r>
          <w:rPr>
            <w:rStyle w:val="-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.</w:t>
        </w:r>
        <w:r>
          <w:rPr>
            <w:rStyle w:val="-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lang w:val="en-US"/>
          </w:rPr>
          <w:t>ru</w:t>
        </w:r>
      </w:hyperlink>
      <w:r w:rsidRPr="00047FB8">
        <w:rPr>
          <w:rStyle w:val="-"/>
          <w:rFonts w:ascii="Times New Roman" w:hAnsi="Times New Roman" w:cs="Times New Roman"/>
          <w:b/>
          <w:bCs/>
          <w:color w:val="000000"/>
          <w:sz w:val="28"/>
          <w:szCs w:val="28"/>
          <w:u w:val="none"/>
        </w:rPr>
        <w:t xml:space="preserve"> : </w:t>
      </w:r>
      <w:r>
        <w:rPr>
          <w:rStyle w:val="-"/>
          <w:rFonts w:ascii="Times New Roman" w:hAnsi="Times New Roman" w:cs="Times New Roman"/>
          <w:b/>
          <w:bCs/>
          <w:color w:val="000000"/>
          <w:sz w:val="28"/>
          <w:szCs w:val="28"/>
          <w:u w:val="none"/>
        </w:rPr>
        <w:t xml:space="preserve">заявка,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согласие  законного представителя на обработку персональных данных несовершеннолетнего ребёнка;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видеофайл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или ссылку для скачивания конкурсного файла; копия чека о внесения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оргвзноса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Конкурса.</w:t>
      </w:r>
    </w:p>
    <w:p w:rsidR="00CA1951" w:rsidRDefault="00047FB8">
      <w:pPr>
        <w:pStyle w:val="aa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Невыполнение условий настоящего Положения влечёт за собой исключение из участия в конкурсе. Организаторы оставляют за собой право вносить изменения в условия и программу организации и проведения конкурса. Заявка окончательно регистрируется после получения конкурсных документов единым пакетом и направляется письмо о регистрации в конкурсе.</w:t>
      </w:r>
    </w:p>
    <w:p w:rsidR="00CA1951" w:rsidRDefault="00047FB8">
      <w:pPr>
        <w:pStyle w:val="a6"/>
        <w:widowControl/>
        <w:spacing w:after="0" w:line="240" w:lineRule="auto"/>
        <w:ind w:left="709" w:hanging="709"/>
        <w:jc w:val="both"/>
      </w:pPr>
      <w:r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>Оргкомитет может прекратить прием заявок, если программная сетка оказывается заполненной ранее указанного срока.</w:t>
      </w:r>
    </w:p>
    <w:p w:rsidR="00CA1951" w:rsidRDefault="00CA1951">
      <w:pPr>
        <w:pStyle w:val="a6"/>
        <w:widowControl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951" w:rsidRDefault="00047FB8">
      <w:pPr>
        <w:spacing w:after="0" w:line="240" w:lineRule="auto"/>
        <w:ind w:left="720"/>
        <w:jc w:val="both"/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Церемония вручения дипломов и призов проводится в течени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одного месяца со дня опубликования итогов конкурса на сайте </w:t>
      </w:r>
      <w:hyperlink r:id="rId8">
        <w:r>
          <w:rPr>
            <w:rStyle w:val="-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-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lang w:val="en-US"/>
          </w:rPr>
          <w:t>center</w:t>
        </w:r>
        <w:r>
          <w:rPr>
            <w:rStyle w:val="-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-</w:t>
        </w:r>
        <w:proofErr w:type="spellStart"/>
        <w:r>
          <w:rPr>
            <w:rStyle w:val="-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lang w:val="en-US"/>
          </w:rPr>
          <w:t>dt</w:t>
        </w:r>
        <w:proofErr w:type="spellEnd"/>
        <w:r>
          <w:rPr>
            <w:rStyle w:val="-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 Получить наградную продукцию можно по адресу Оргкомитета:  414000 г. Астрахань, ул. Володарского, 9</w:t>
      </w:r>
    </w:p>
    <w:p w:rsidR="00CA1951" w:rsidRDefault="00047FB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Оргкомитет хореографического конкурса «Танцевальный вектор»</w:t>
      </w:r>
    </w:p>
    <w:p w:rsidR="00CA1951" w:rsidRDefault="00047FB8">
      <w:pPr>
        <w:spacing w:after="0" w:line="240" w:lineRule="auto"/>
        <w:jc w:val="both"/>
      </w:pPr>
      <w:r>
        <w:rPr>
          <w:rStyle w:val="-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Донская Ольга Анатольевна (сот. 8 903 348 95 45)</w:t>
      </w:r>
      <w:proofErr w:type="gramStart"/>
      <w:r>
        <w:rPr>
          <w:rStyle w:val="-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онтактные телефоны: 8 (8512) 51-23-56, 51-17-92 факс, </w:t>
      </w:r>
    </w:p>
    <w:p w:rsidR="00CA1951" w:rsidRPr="00047FB8" w:rsidRDefault="00047FB8">
      <w:pPr>
        <w:spacing w:after="0" w:line="240" w:lineRule="auto"/>
        <w:jc w:val="both"/>
        <w:rPr>
          <w:lang w:val="en-US"/>
        </w:rPr>
      </w:pPr>
      <w:proofErr w:type="gramStart"/>
      <w:r>
        <w:rPr>
          <w:rStyle w:val="-"/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e-mail</w:t>
      </w:r>
      <w:proofErr w:type="gramEnd"/>
      <w:r>
        <w:rPr>
          <w:rStyle w:val="-"/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: </w:t>
      </w:r>
      <w:hyperlink r:id="rId9">
        <w:r>
          <w:rPr>
            <w:rStyle w:val="-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lang w:val="en-US"/>
          </w:rPr>
          <w:t>estet@center-dt.ru</w:t>
        </w:r>
      </w:hyperlink>
    </w:p>
    <w:p w:rsidR="00CA1951" w:rsidRPr="00047FB8" w:rsidRDefault="00CA195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CA1951" w:rsidRDefault="00047FB8">
      <w:pPr>
        <w:pStyle w:val="aa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Реквизиты для оплаты:</w:t>
      </w:r>
    </w:p>
    <w:p w:rsidR="00CA1951" w:rsidRDefault="00047FB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Полное: государственное автономное учреждение дополнительного образования «Астраханский областной центр развития творчества»</w:t>
      </w:r>
    </w:p>
    <w:p w:rsidR="00CA1951" w:rsidRDefault="00047F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ИНН 3015013618    КПП  301501001</w:t>
      </w:r>
    </w:p>
    <w:p w:rsidR="00CA1951" w:rsidRDefault="00047FB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Адрес: г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страхань, ул.Володарского 9</w:t>
      </w:r>
    </w:p>
    <w:p w:rsidR="00CA1951" w:rsidRDefault="00047F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Коннова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Нина Михайловна</w:t>
      </w:r>
    </w:p>
    <w:p w:rsidR="00CA1951" w:rsidRDefault="00047F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Главный бухгалтер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Попова Ирина Аркадьевна</w:t>
      </w:r>
    </w:p>
    <w:p w:rsidR="00CA1951" w:rsidRDefault="00047F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Телефон  51-49-00,  51-23-56</w:t>
      </w:r>
    </w:p>
    <w:p w:rsidR="00CA1951" w:rsidRDefault="00047F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ОКТМО  12701000001</w:t>
      </w:r>
    </w:p>
    <w:p w:rsidR="00CA1951" w:rsidRDefault="00047FB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ОГРН  1023000840170</w:t>
      </w:r>
    </w:p>
    <w:p w:rsidR="00CA1951" w:rsidRDefault="00047F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Счет  40603810205004000007</w:t>
      </w:r>
    </w:p>
    <w:p w:rsidR="00CA1951" w:rsidRDefault="00047FB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Реквизиты банка Астраханское отделение № 8625 Сбербанка России</w:t>
      </w:r>
    </w:p>
    <w:p w:rsidR="00CA1951" w:rsidRDefault="00047F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БИК  041203602   к/с 30101810500000000602</w:t>
      </w:r>
    </w:p>
    <w:p w:rsidR="00CA1951" w:rsidRDefault="00047F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87600000000000000130   </w:t>
      </w:r>
    </w:p>
    <w:p w:rsidR="00CA1951" w:rsidRDefault="00CA1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CA1951" w:rsidRDefault="00CA1951">
      <w:pPr>
        <w:pStyle w:val="ab"/>
        <w:spacing w:before="0" w:after="0"/>
        <w:jc w:val="both"/>
        <w:rPr>
          <w:b/>
          <w:bCs/>
          <w:color w:val="00000A"/>
          <w:sz w:val="28"/>
          <w:szCs w:val="28"/>
        </w:rPr>
      </w:pPr>
    </w:p>
    <w:p w:rsidR="00CA1951" w:rsidRDefault="00CA1951">
      <w:pPr>
        <w:pStyle w:val="ab"/>
        <w:spacing w:before="0" w:after="0"/>
        <w:jc w:val="both"/>
        <w:rPr>
          <w:b/>
          <w:bCs/>
          <w:color w:val="00000A"/>
          <w:sz w:val="28"/>
          <w:szCs w:val="28"/>
        </w:rPr>
      </w:pPr>
    </w:p>
    <w:p w:rsidR="00CA1951" w:rsidRDefault="00CA1951">
      <w:pPr>
        <w:pStyle w:val="ab"/>
        <w:spacing w:before="0" w:after="0"/>
        <w:jc w:val="both"/>
        <w:rPr>
          <w:b/>
        </w:rPr>
      </w:pPr>
    </w:p>
    <w:p w:rsidR="00CA1951" w:rsidRDefault="00CA1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CA1951" w:rsidRDefault="00CA1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CA1951" w:rsidRDefault="00CA1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sectPr w:rsidR="00CA1951" w:rsidSect="00CA1951">
      <w:pgSz w:w="11906" w:h="16838"/>
      <w:pgMar w:top="709" w:right="711" w:bottom="1134" w:left="104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247"/>
    <w:multiLevelType w:val="multilevel"/>
    <w:tmpl w:val="E202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E4F320E"/>
    <w:multiLevelType w:val="multilevel"/>
    <w:tmpl w:val="EE8A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2D36A55"/>
    <w:multiLevelType w:val="multilevel"/>
    <w:tmpl w:val="FA34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9A61C8D"/>
    <w:multiLevelType w:val="multilevel"/>
    <w:tmpl w:val="1D885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7E632F"/>
    <w:multiLevelType w:val="multilevel"/>
    <w:tmpl w:val="99B2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D196667"/>
    <w:multiLevelType w:val="multilevel"/>
    <w:tmpl w:val="90E6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33323D1E"/>
    <w:multiLevelType w:val="multilevel"/>
    <w:tmpl w:val="BC40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40A2575F"/>
    <w:multiLevelType w:val="multilevel"/>
    <w:tmpl w:val="5E3C7D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2910172"/>
    <w:multiLevelType w:val="multilevel"/>
    <w:tmpl w:val="4556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44287EC2"/>
    <w:multiLevelType w:val="multilevel"/>
    <w:tmpl w:val="5948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461A1937"/>
    <w:multiLevelType w:val="multilevel"/>
    <w:tmpl w:val="6E8EA0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535B35"/>
    <w:multiLevelType w:val="multilevel"/>
    <w:tmpl w:val="9CBA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4B5D6909"/>
    <w:multiLevelType w:val="multilevel"/>
    <w:tmpl w:val="A448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544A5D7B"/>
    <w:multiLevelType w:val="multilevel"/>
    <w:tmpl w:val="2A2E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707E6160"/>
    <w:multiLevelType w:val="multilevel"/>
    <w:tmpl w:val="C84E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7DFA2CB7"/>
    <w:multiLevelType w:val="multilevel"/>
    <w:tmpl w:val="48EE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2"/>
  </w:num>
  <w:num w:numId="6">
    <w:abstractNumId w:val="8"/>
  </w:num>
  <w:num w:numId="7">
    <w:abstractNumId w:val="5"/>
  </w:num>
  <w:num w:numId="8">
    <w:abstractNumId w:val="15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9"/>
  </w:num>
  <w:num w:numId="14">
    <w:abstractNumId w:val="4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A1951"/>
    <w:rsid w:val="00047FB8"/>
    <w:rsid w:val="002C1E77"/>
    <w:rsid w:val="004371EA"/>
    <w:rsid w:val="00633F42"/>
    <w:rsid w:val="008D4724"/>
    <w:rsid w:val="0093113C"/>
    <w:rsid w:val="00CA1951"/>
    <w:rsid w:val="00CB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B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9A7143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rsid w:val="002E4336"/>
    <w:rPr>
      <w:color w:val="00000A"/>
    </w:rPr>
  </w:style>
  <w:style w:type="character" w:customStyle="1" w:styleId="a4">
    <w:name w:val="Выделение жирным"/>
    <w:rsid w:val="002E4336"/>
    <w:rPr>
      <w:b/>
      <w:bCs/>
    </w:rPr>
  </w:style>
  <w:style w:type="character" w:customStyle="1" w:styleId="1">
    <w:name w:val="Основной текст Знак1"/>
    <w:basedOn w:val="a0"/>
    <w:uiPriority w:val="99"/>
    <w:semiHidden/>
    <w:rsid w:val="002E4336"/>
  </w:style>
  <w:style w:type="character" w:customStyle="1" w:styleId="ListLabel1">
    <w:name w:val="ListLabel 1"/>
    <w:rsid w:val="00CA1951"/>
    <w:rPr>
      <w:rFonts w:cs="Courier New"/>
    </w:rPr>
  </w:style>
  <w:style w:type="character" w:customStyle="1" w:styleId="ListLabel2">
    <w:name w:val="ListLabel 2"/>
    <w:rsid w:val="00CA1951"/>
    <w:rPr>
      <w:sz w:val="20"/>
    </w:rPr>
  </w:style>
  <w:style w:type="character" w:customStyle="1" w:styleId="ListLabel3">
    <w:name w:val="ListLabel 3"/>
    <w:rsid w:val="00CA1951"/>
    <w:rPr>
      <w:rFonts w:cs="Symbol"/>
      <w:b/>
      <w:sz w:val="32"/>
    </w:rPr>
  </w:style>
  <w:style w:type="character" w:customStyle="1" w:styleId="ListLabel4">
    <w:name w:val="ListLabel 4"/>
    <w:rsid w:val="00CA1951"/>
    <w:rPr>
      <w:rFonts w:cs="Wingdings"/>
    </w:rPr>
  </w:style>
  <w:style w:type="character" w:customStyle="1" w:styleId="ListLabel5">
    <w:name w:val="ListLabel 5"/>
    <w:rsid w:val="00CA1951"/>
    <w:rPr>
      <w:rFonts w:cs="Symbol"/>
    </w:rPr>
  </w:style>
  <w:style w:type="paragraph" w:customStyle="1" w:styleId="a5">
    <w:name w:val="Заголовок"/>
    <w:basedOn w:val="a"/>
    <w:next w:val="a6"/>
    <w:rsid w:val="00CA19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99"/>
    <w:rsid w:val="002E4336"/>
    <w:pPr>
      <w:widowControl w:val="0"/>
      <w:spacing w:after="140" w:line="288" w:lineRule="auto"/>
      <w:textAlignment w:val="baseline"/>
    </w:pPr>
    <w:rPr>
      <w:color w:val="00000A"/>
    </w:rPr>
  </w:style>
  <w:style w:type="paragraph" w:styleId="a7">
    <w:name w:val="List"/>
    <w:basedOn w:val="a6"/>
    <w:rsid w:val="00CA1951"/>
    <w:rPr>
      <w:rFonts w:cs="Mangal"/>
    </w:rPr>
  </w:style>
  <w:style w:type="paragraph" w:styleId="a8">
    <w:name w:val="Title"/>
    <w:basedOn w:val="a"/>
    <w:rsid w:val="00CA19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CA1951"/>
    <w:pPr>
      <w:suppressLineNumbers/>
    </w:pPr>
    <w:rPr>
      <w:rFonts w:cs="Mangal"/>
    </w:rPr>
  </w:style>
  <w:style w:type="paragraph" w:styleId="aa">
    <w:name w:val="No Spacing"/>
    <w:uiPriority w:val="99"/>
    <w:qFormat/>
    <w:rsid w:val="00681BD0"/>
    <w:pPr>
      <w:suppressAutoHyphens/>
      <w:spacing w:line="240" w:lineRule="auto"/>
    </w:pPr>
  </w:style>
  <w:style w:type="paragraph" w:styleId="ab">
    <w:name w:val="Normal (Web)"/>
    <w:basedOn w:val="a"/>
    <w:uiPriority w:val="99"/>
    <w:unhideWhenUsed/>
    <w:rsid w:val="002E433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rsid w:val="00CA1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-d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tet@center-d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et@center-d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enter-d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tet@center-d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2021-11-08T08:00:00Z</dcterms:created>
  <dcterms:modified xsi:type="dcterms:W3CDTF">2021-11-08T08:14:00Z</dcterms:modified>
  <dc:language>ru-RU</dc:language>
</cp:coreProperties>
</file>