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202"/>
        <w:ind w:left="5122" w:right="96" w:hanging="10"/>
        <w:jc w:val="right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2"/>
          <w:lang w:val="ru-RU" w:eastAsia="ru-RU" w:bidi="ar-SA"/>
        </w:rPr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sz w:val="30"/>
        </w:rPr>
        <w:t>Положение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sz w:val="30"/>
        </w:rPr>
        <w:t>Х</w:t>
      </w:r>
      <w:r>
        <w:rPr>
          <w:sz w:val="30"/>
          <w:lang w:val="en-US"/>
        </w:rPr>
        <w:t>VI</w:t>
      </w:r>
      <w:r>
        <w:rPr>
          <w:sz w:val="30"/>
        </w:rPr>
        <w:t xml:space="preserve"> Всероссийского фестиваля детских и юношеских театральных коллективов «Маска - 2018»</w:t>
      </w:r>
      <w:r/>
    </w:p>
    <w:p>
      <w:pPr>
        <w:pStyle w:val="Normal"/>
        <w:spacing w:lineRule="auto" w:line="396" w:before="0" w:after="0"/>
        <w:ind w:left="0" w:right="0" w:hanging="0"/>
      </w:pPr>
      <w:r>
        <w:rPr/>
        <w:t xml:space="preserve">ХVI Всероссийский фестиваль детских, юношеских и молодёжных любительских театральных коллективов «МАСКА — 2018» (далее - Фестиваль) проводится в городе Астрахани </w:t>
      </w:r>
      <w:r>
        <w:rPr>
          <w:color w:val="FF0000"/>
        </w:rPr>
        <w:t>с 21 по 26 августа 2018 года</w:t>
      </w:r>
      <w:r>
        <w:rPr/>
        <w:t xml:space="preserve"> в рамках года «Десятилетия Детства» объявленный Президентом Российской Федерации.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  <w:lang w:val="en-US"/>
        </w:rPr>
        <w:t>I</w:t>
      </w:r>
      <w:r>
        <w:rPr>
          <w:b/>
          <w:bCs/>
          <w:sz w:val="26"/>
        </w:rPr>
        <w:t>. Цели и задачи Фестиваля.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поддержка и развитие детского и юношеского театрального творчества, повышение роли театра в эстетическом воспитании детей, подростков и молодежи;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изучение и обобщение опыта лучших коллективов работающих в различных видах театрального искусства;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обмен опытом работы, повышение образовательного уровня режиссеров и юных актеров через участие в мастер-классах, творческих лабораториях;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выявление и поддержка одаренных детей и подростков, талантливых педагогов-режиссеров;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развитие духовно-нравственных, патриотических и эстетических чувств детей;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рассмотрение проблем детского театрального творчества;</w:t>
      </w:r>
      <w:r/>
    </w:p>
    <w:p>
      <w:pPr>
        <w:pStyle w:val="Normal"/>
        <w:numPr>
          <w:ilvl w:val="0"/>
          <w:numId w:val="1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развитие детского театрального движения на основе взаимодействия системы образования и системы культуры,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  <w:lang w:val="en-US"/>
        </w:rPr>
        <w:t>II</w:t>
      </w:r>
      <w:r>
        <w:rPr>
          <w:b/>
          <w:bCs/>
          <w:sz w:val="26"/>
          <w:lang w:val="ru-RU"/>
        </w:rPr>
        <w:t xml:space="preserve">. </w:t>
      </w:r>
      <w:r>
        <w:rPr>
          <w:b/>
          <w:bCs/>
          <w:sz w:val="26"/>
        </w:rPr>
        <w:t xml:space="preserve"> Учредитель и организаторы Фестиваля.</w:t>
      </w:r>
      <w:r/>
    </w:p>
    <w:p>
      <w:pPr>
        <w:pStyle w:val="Normal"/>
        <w:numPr>
          <w:ilvl w:val="0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Министерство образования и науки Астраханской области.</w:t>
      </w:r>
      <w:r/>
    </w:p>
    <w:p>
      <w:pPr>
        <w:pStyle w:val="Normal"/>
        <w:numPr>
          <w:ilvl w:val="0"/>
          <w:numId w:val="2"/>
        </w:numPr>
        <w:spacing w:lineRule="auto" w:line="396" w:before="0" w:after="0"/>
        <w:ind w:left="0" w:right="0" w:hanging="0"/>
      </w:pPr>
      <w:r>
        <w:rPr/>
        <w:t>ГАУ ДО «Астраханский областной Центр развития творчества».</w:t>
      </w:r>
      <w:r>
        <w:rPr/>
        <w:drawing>
          <wp:inline distT="0" distB="0" distL="0" distR="0">
            <wp:extent cx="33655" cy="336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center" w:pos="4994" w:leader="none"/>
        </w:tabs>
        <w:spacing w:lineRule="auto" w:line="396" w:before="0" w:after="0"/>
        <w:ind w:left="0" w:right="0" w:hanging="0"/>
        <w:jc w:val="left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З.</w:t>
        <w:tab/>
        <w:t>Народный коллектив молодежный театр-студия «МЫ» ГАУ ДО «АОЦРТ».</w:t>
      </w:r>
      <w:r/>
    </w:p>
    <w:p>
      <w:pPr>
        <w:pStyle w:val="Normal"/>
        <w:tabs>
          <w:tab w:val="center" w:pos="4994" w:leader="none"/>
        </w:tabs>
        <w:spacing w:lineRule="auto" w:line="396" w:before="0" w:after="0"/>
        <w:ind w:left="0" w:right="0" w:hanging="0"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Девиз Фестиваля: </w:t>
      </w:r>
      <w:r>
        <w:rPr>
          <w:b/>
          <w:bCs/>
          <w:sz w:val="28"/>
        </w:rPr>
        <w:t>«И детство, и юность - есть только начало…   »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  <w:lang w:val="en-US"/>
        </w:rPr>
        <w:t>III</w:t>
      </w:r>
      <w:r>
        <w:rPr>
          <w:b/>
          <w:bCs/>
          <w:sz w:val="26"/>
        </w:rPr>
        <w:t>. Участники Фестиваля.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В фестивале принимают участие детские, юношеские и молодёжные любительские театральные коллективы и студии (школьные, студенческие, учреждений дополнительного образования детей, школ искусств, клубных учреждений и т. д.), работающие в следующих направлениях: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драматический спектакль; 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  <w:t xml:space="preserve">музыкальный спектакль; 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  <w:t>хореографический и пластический  спектакль;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кукольный спектакль;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  <w:t>мюзикл;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уличный спектакль;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моно -спектакль.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  <w:lang w:val="en-US"/>
        </w:rPr>
        <w:t>IV</w:t>
      </w:r>
      <w:r>
        <w:rPr>
          <w:b/>
          <w:bCs/>
          <w:sz w:val="26"/>
        </w:rPr>
        <w:t>. Условия проведения Фестиваля.</w:t>
      </w:r>
      <w:r/>
    </w:p>
    <w:p>
      <w:pPr>
        <w:pStyle w:val="Normal"/>
        <w:spacing w:lineRule="auto" w:line="396" w:before="0" w:after="0"/>
        <w:ind w:left="0" w:right="0" w:hanging="0"/>
      </w:pPr>
      <w:r>
        <w:rPr/>
        <w:t>Х</w:t>
      </w:r>
      <w:r>
        <w:rPr>
          <w:lang w:val="en-US"/>
        </w:rPr>
        <w:t>VI</w:t>
      </w:r>
      <w:r>
        <w:rPr/>
        <w:t xml:space="preserve"> Всероссийский фестиваль «МАСКА - 2018» проводится с </w:t>
      </w:r>
      <w:r>
        <w:rPr>
          <w:color w:val="FF0000"/>
        </w:rPr>
        <w:t xml:space="preserve">21 по 26 августа 2018 </w:t>
      </w:r>
      <w:r>
        <w:rPr/>
        <w:t>года в городе Астрахани (</w:t>
      </w:r>
      <w:r>
        <w:rPr>
          <w:color w:val="FF0000"/>
        </w:rPr>
        <w:t>Открытие Фестиваля 21 августа - Торжественное Закрытие  Фестиваля 26 августа).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b/>
          <w:bCs/>
          <w:sz w:val="28"/>
          <w:u w:val="single" w:color="000000"/>
        </w:rPr>
        <w:t>ВНИМАНИЕ! Возможны изменения и Дополнения в программе,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b/>
          <w:bCs/>
          <w:u w:val="single"/>
        </w:rPr>
        <w:t>Для участия в Фестивале необходимо пройти отборочный тур</w:t>
      </w:r>
      <w:r>
        <w:rPr/>
        <w:t xml:space="preserve">. Заявки принимаются </w:t>
      </w:r>
      <w:r>
        <w:rPr>
          <w:b/>
          <w:bCs/>
          <w:u w:val="single"/>
        </w:rPr>
        <w:t xml:space="preserve">до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0 </w:t>
      </w:r>
      <w:r>
        <w:rPr>
          <w:b/>
          <w:bCs/>
          <w:u w:val="single"/>
        </w:rPr>
        <w:t>июня</w:t>
      </w:r>
      <w:r>
        <w:rPr>
          <w:b/>
          <w:bCs/>
          <w:u w:val="single"/>
        </w:rPr>
        <w:t xml:space="preserve"> 2018 года (включительно</w:t>
      </w:r>
      <w:r>
        <w:rPr/>
        <w:t>). Руководителям коллективов необходимо представить в оргкомитет: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анкету-заявку по форме на участие в Фестивале;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творческую характеристику на коллектив;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видеозапись спектакля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афишу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видеопредставления коллектива</w:t>
      </w:r>
      <w:r/>
    </w:p>
    <w:p>
      <w:pPr>
        <w:pStyle w:val="Normal"/>
        <w:numPr>
          <w:ilvl w:val="1"/>
          <w:numId w:val="2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программку спектакля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Продолжительность спектакля, заявленного на Фестиваль не более 90 минут.</w:t>
      </w:r>
      <w:r/>
    </w:p>
    <w:p>
      <w:pPr>
        <w:pStyle w:val="Normal"/>
        <w:spacing w:lineRule="auto" w:line="396" w:before="0" w:after="0"/>
        <w:ind w:left="0" w:right="0" w:hanging="0"/>
        <w:rPr>
          <w:color w:val="00000A"/>
        </w:rPr>
      </w:pPr>
      <w:r>
        <w:rPr>
          <w:b/>
          <w:bCs/>
          <w:color w:val="C5000B"/>
          <w:u w:val="single"/>
        </w:rPr>
        <w:t>Заявки без видеоприложения не рассматриваются!</w:t>
      </w:r>
      <w:r/>
    </w:p>
    <w:p>
      <w:pPr>
        <w:pStyle w:val="Normal"/>
        <w:spacing w:lineRule="auto" w:line="396" w:before="0" w:after="0"/>
        <w:ind w:left="0" w:right="0" w:hanging="0"/>
      </w:pPr>
      <w:r>
        <w:rPr/>
        <w:t xml:space="preserve">Прошедшим отборочный тур, Оргкомитет Фестиваля высылает коллективам </w:t>
      </w:r>
      <w:r>
        <w:rPr>
          <w:u w:val="single"/>
        </w:rPr>
        <w:t xml:space="preserve">приглашение-вызов до </w:t>
      </w:r>
      <w:r>
        <w:rPr>
          <w:u w:val="single"/>
        </w:rPr>
        <w:t>30</w:t>
      </w:r>
      <w:r>
        <w:rPr>
          <w:u w:val="single"/>
        </w:rPr>
        <w:t xml:space="preserve"> июня 2018 года.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</w:rPr>
        <w:t>V. Подведение итогов фестиваля.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Жюри оценивает спектакли по трем возрастным категориям: 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</w:rPr>
        <w:t xml:space="preserve">-10-14 лет-детская 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</w:rPr>
        <w:t>-15-18 лет-юношеская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</w:rPr>
        <w:t>-19-30 лет- взрослая</w:t>
      </w:r>
      <w:r/>
    </w:p>
    <w:p>
      <w:pPr>
        <w:pStyle w:val="Normal"/>
        <w:spacing w:lineRule="auto" w:line="396" w:before="0" w:after="0"/>
        <w:ind w:left="0" w:right="0" w:hanging="0"/>
        <w:rPr>
          <w:sz w:val="20"/>
          <w:shd w:fill="FFFFFF" w:val="clear"/>
          <w:sz w:val="20"/>
          <w:szCs w:val="20"/>
          <w:rFonts w:ascii="Arial" w:hAnsi="Arial" w:cs="Arial"/>
        </w:rPr>
      </w:pPr>
      <w:r>
        <w:rPr>
          <w:rFonts w:cs="Arial"/>
          <w:sz w:val="24"/>
          <w:szCs w:val="24"/>
          <w:shd w:fill="FFFFFF" w:val="clear"/>
        </w:rPr>
        <w:t>В каждой категории допускается участие нескольких актеров старше (или младше) установленного возраста. 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rFonts w:cs="Arial"/>
          <w:b/>
          <w:bCs/>
          <w:sz w:val="24"/>
          <w:szCs w:val="24"/>
          <w:shd w:fill="FFFFFF" w:val="clear"/>
        </w:rPr>
        <w:t>Критерии оценки: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понимание темы, поднятой в пьесе;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</w:pPr>
      <w:r>
        <w:rPr>
          <w:lang w:val="en-US"/>
        </w:rPr>
        <w:t xml:space="preserve">- </w:t>
      </w:r>
      <w:r>
        <w:rPr/>
        <w:t>выразительность и эмоциональность исполнителей;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техника исполнения роли;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  <w:t>- качество музыкального исполнения; - соответствие репертуара возрасту юных исполнителей;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художественное оформление спектакля;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костюмное решение образа.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Все участники Фестиваля награждаются дипломами участников. Победителям Фестиваля присваивается: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</w:pPr>
      <w:r>
        <w:rPr/>
        <w:t xml:space="preserve">- звание «Лауреат» и диплом </w:t>
      </w:r>
      <w:r>
        <w:rPr>
          <w:lang w:val="en-US"/>
        </w:rPr>
        <w:t xml:space="preserve">I </w:t>
      </w:r>
      <w:r>
        <w:rPr/>
        <w:t xml:space="preserve">степени; 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звание «Лауреат» и диплом П степени;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звание «Лауреат» и диплом III степени.</w:t>
      </w:r>
      <w:r/>
    </w:p>
    <w:p>
      <w:pPr>
        <w:pStyle w:val="Normal"/>
        <w:spacing w:lineRule="auto" w:line="396" w:before="0" w:after="0"/>
        <w:ind w:left="0" w:right="0" w:hanging="0"/>
      </w:pPr>
      <w:r>
        <w:rPr/>
        <w:t xml:space="preserve">Звание «Дипломант» - </w:t>
      </w:r>
      <w:bookmarkStart w:id="0" w:name="__DdeLink__277_1635982246"/>
      <w:r>
        <w:rPr/>
        <w:t>присваивается</w:t>
      </w:r>
      <w:bookmarkEnd w:id="0"/>
      <w:r>
        <w:rPr/>
        <w:t xml:space="preserve"> коллективам, занявшим соответственно места </w:t>
      </w:r>
      <w:r>
        <w:rPr>
          <w:lang w:val="en-US"/>
        </w:rPr>
        <w:t>IV, V,  VI</w:t>
      </w:r>
      <w:r>
        <w:rPr/>
        <w:t>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</w:rPr>
        <w:t>В номинации «Актёрская работа» награждаются: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лучший юный актёр;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лучшая юная актриса;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лучшее исполнение женской роли;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лучшее исполнение мужской роли;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лучшее исполнение женской роли второго плана;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лучшее исполнение мужской роли второго плана;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самый обаятельный отрицательный герой;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лучший вокал.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b/>
          <w:bCs/>
        </w:rPr>
        <w:t>В номинации «Театр» награждаются:</w:t>
      </w:r>
      <w:r>
        <w:rPr/>
        <w:t xml:space="preserve"> 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  <w:t xml:space="preserve"> </w:t>
      </w:r>
      <w:r>
        <w:rPr/>
        <w:t>- лучшая режиссерская работа;</w:t>
      </w:r>
      <w:r/>
    </w:p>
    <w:p>
      <w:pPr>
        <w:pStyle w:val="Normal"/>
        <w:numPr>
          <w:ilvl w:val="0"/>
          <w:numId w:val="0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- актерский ансамбль;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композиционная целостность спектакля; - сценография;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художественное оформление спектакля; - лучшая хореография;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лучший пластический рисунок спектакля; - самое оригинальное музыкальное оформление;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лучший костюм.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b/>
          <w:bCs/>
        </w:rPr>
        <w:t>В номинациях «Актёрская работа» и «Театр» присваивается — Приз зрительских симпатий.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</w:rPr>
        <w:t>В номинации «Коллектив»: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приз «Самый дружный коллектив»; 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самая яркая личность Фестиваля;</w:t>
      </w:r>
      <w:r/>
    </w:p>
    <w:p>
      <w:pPr>
        <w:pStyle w:val="Normal"/>
        <w:numPr>
          <w:ilvl w:val="0"/>
          <w:numId w:val="3"/>
        </w:numPr>
        <w:spacing w:lineRule="auto" w:line="396" w:before="0" w:after="0"/>
        <w:ind w:left="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самый активный участник Фестиваля.</w:t>
      </w:r>
      <w:r/>
    </w:p>
    <w:p>
      <w:pPr>
        <w:pStyle w:val="Normal"/>
        <w:spacing w:lineRule="auto" w:line="396" w:before="0" w:after="0"/>
        <w:ind w:left="0" w:right="0" w:hanging="0"/>
        <w:rPr>
          <w:sz w:val="24"/>
          <w:u w:val="single"/>
          <w:b/>
          <w:sz w:val="24"/>
          <w:b/>
          <w:bCs/>
          <w:rFonts w:ascii="Times New Roman" w:hAnsi="Times New Roman" w:eastAsia="Times New Roman" w:cs="Times New Roman"/>
          <w:color w:val="000000"/>
        </w:rPr>
      </w:pPr>
      <w:r>
        <w:rPr>
          <w:b/>
          <w:bCs/>
          <w:u w:val="single"/>
        </w:rPr>
        <w:t>Оргкомитет Фестиваля и жюри оставляет за собой право отметить особыми призами другие работы участников Фестиваля.</w:t>
      </w:r>
      <w:r/>
    </w:p>
    <w:p>
      <w:pPr>
        <w:pStyle w:val="Normal"/>
        <w:spacing w:lineRule="auto" w:line="396" w:before="0" w:after="0"/>
        <w:ind w:left="0" w:right="0" w:hanging="0"/>
      </w:pPr>
      <w:r>
        <w:rPr/>
        <w:t>По единогласному решению жюри Гран — При может быть присужден в любой из вышеперечисленных номинаций.</w:t>
      </w:r>
      <w:r>
        <w:rPr>
          <w:rFonts w:cs="Tahoma" w:ascii="Tahoma" w:hAnsi="Tahoma"/>
          <w:i/>
          <w:iCs/>
          <w:color w:val="383D69"/>
        </w:rPr>
        <w:t xml:space="preserve"> </w:t>
      </w:r>
      <w:r>
        <w:rPr>
          <w:iCs/>
          <w:color w:val="000000" w:themeColor="text1"/>
        </w:rPr>
        <w:t>Жюри оставляет за собой право вводить дополнительные номинации и не вручать награды по вышеперечисленным номинациям.</w:t>
      </w:r>
      <w:r/>
    </w:p>
    <w:p>
      <w:pPr>
        <w:pStyle w:val="Normal"/>
        <w:spacing w:lineRule="auto" w:line="396" w:before="0" w:after="0"/>
        <w:ind w:left="0" w:right="0" w:hanging="0"/>
        <w:jc w:val="center"/>
      </w:pPr>
      <w:r>
        <w:rPr>
          <w:b/>
          <w:bCs/>
          <w:sz w:val="26"/>
        </w:rPr>
        <w:t>VI. Жюри конкурса</w:t>
      </w:r>
      <w:r/>
    </w:p>
    <w:p>
      <w:pPr>
        <w:pStyle w:val="Normal"/>
        <w:spacing w:lineRule="auto" w:line="396" w:before="0" w:after="0"/>
        <w:ind w:left="0" w:right="0" w:hanging="0"/>
        <w:jc w:val="left"/>
      </w:pPr>
      <w:r>
        <w:rPr/>
        <w:t xml:space="preserve">Состав профессионального жюри, во главе с председателем, формируется и утверждается оргкомитетом конкурса. Жюри конкурса формируется из специалистов культуры и искусства России, деятели искусств: режиссеры, балетмейстеры, артисты эстрады, педагоги. </w:t>
      </w:r>
      <w:r>
        <w:rPr>
          <w:b/>
          <w:bCs/>
          <w:color w:val="800000"/>
          <w:u w:val="single"/>
        </w:rPr>
        <w:t>Так же на фестивале работает состав «Детского Жюри».</w:t>
      </w:r>
      <w:r/>
    </w:p>
    <w:p>
      <w:pPr>
        <w:pStyle w:val="Normal"/>
        <w:spacing w:lineRule="auto" w:line="396" w:before="0" w:after="0"/>
        <w:ind w:left="0" w:right="0" w:hanging="0"/>
        <w:jc w:val="left"/>
      </w:pPr>
      <w:r>
        <w:rPr>
          <w:color w:val="FF0000"/>
          <w:sz w:val="26"/>
        </w:rPr>
        <w:t>VIlI. Финансирование Фестиваля.</w:t>
      </w:r>
      <w:r/>
    </w:p>
    <w:p>
      <w:pPr>
        <w:pStyle w:val="Normal"/>
        <w:spacing w:lineRule="auto" w:line="396" w:before="0" w:after="0"/>
        <w:ind w:left="0" w:right="0" w:hanging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>Организационный сбор составляет 5</w:t>
      </w:r>
      <w:r>
        <w:rPr>
          <w:color w:val="FF0000"/>
          <w:u w:val="single"/>
        </w:rPr>
        <w:t xml:space="preserve">000 (пять тысяч) рублей </w:t>
      </w:r>
      <w:r>
        <w:rPr>
          <w:color w:val="FF0000"/>
        </w:rPr>
        <w:t>с коллектива.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FF0000"/>
        </w:rPr>
        <w:t xml:space="preserve">Информация для иногородних коллективов: пребывание на фестивале каждого участника (проживание, питание, транспортное обслуживание) оплачивается за счёт средств делегации </w:t>
      </w:r>
      <w:r>
        <w:rPr>
          <w:color w:val="FF0000"/>
          <w:u w:val="single" w:color="000000"/>
        </w:rPr>
        <w:t xml:space="preserve">приблизительная стоимость проживания </w:t>
      </w:r>
      <w:r>
        <w:rPr>
          <w:color w:val="FF0000"/>
        </w:rPr>
        <w:t>- от 800 (восьмисот) рублей с человека.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FF0000"/>
        </w:rPr>
        <w:t>Оплата осуществляется в срок до 01 августа 2018 года перечислением на расчётный счёт оргкомитета. Оплата командировочных расходов производится направляющей стороной.</w:t>
      </w:r>
      <w:r/>
    </w:p>
    <w:p>
      <w:pPr>
        <w:pStyle w:val="Normal"/>
        <w:spacing w:lineRule="auto" w:line="396" w:before="0" w:after="0"/>
        <w:ind w:left="0" w:right="0" w:hanging="0"/>
        <w:jc w:val="center"/>
        <w:rPr>
          <w:color w:val="FF0000"/>
        </w:rPr>
      </w:pPr>
      <w:r>
        <w:rPr>
          <w:color w:val="FF0000"/>
          <w:sz w:val="28"/>
          <w:u w:val="single" w:color="000000"/>
        </w:rPr>
        <w:t>ВНИМАНИЕ УЧАСТНИКОВ!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FF0000"/>
          <w:sz w:val="28"/>
          <w:u w:val="single" w:color="000000"/>
        </w:rPr>
        <w:t>Проезд до города проведения фестиваля производится за счет участников. Билеты приобретаются в оба конца. Место, дату и время прибытия необходимо заблаговременно сообщить в орг.комитет для обеспечения трансфера</w:t>
      </w:r>
      <w:r/>
    </w:p>
    <w:p>
      <w:pPr>
        <w:pStyle w:val="Normal"/>
        <w:spacing w:lineRule="auto" w:line="396" w:before="0" w:after="0"/>
        <w:ind w:left="0" w:right="0" w:hanging="0"/>
        <w:rPr>
          <w:color w:val="FF0000"/>
        </w:rPr>
      </w:pPr>
      <w:r>
        <w:rPr>
          <w:color w:val="000000"/>
        </w:rPr>
        <w:t>В рамках фестиваля будет приветствоваться концертная деятельность коллектива перед жителями и гостями города.</w:t>
      </w:r>
      <w:r/>
    </w:p>
    <w:p>
      <w:pPr>
        <w:pStyle w:val="Normal"/>
        <w:spacing w:lineRule="auto" w:line="396" w:before="0" w:after="0"/>
        <w:ind w:left="0" w:right="0" w:hanging="0"/>
        <w:rPr>
          <w:color w:val="FF0000"/>
        </w:rPr>
      </w:pPr>
      <w:r>
        <w:rPr>
          <w:color w:val="000000"/>
        </w:rPr>
        <w:t>Адрес Оргкомитета: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000000"/>
        </w:rPr>
        <w:t xml:space="preserve">414000 г. Астрахань, ул. Володарского, 9 </w:t>
      </w:r>
      <w:r>
        <w:rPr>
          <w:color w:val="FF0000"/>
        </w:rPr>
        <w:t>ГАУ ДО «Астраханский областной Центр развития творчества»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000000"/>
        </w:rPr>
        <w:t>Орг.комитет фестиваля «МАСКА — 2018»</w:t>
      </w:r>
      <w:r/>
    </w:p>
    <w:p>
      <w:pPr>
        <w:pStyle w:val="Normal"/>
        <w:spacing w:lineRule="auto" w:line="396" w:before="0" w:after="0"/>
        <w:ind w:left="0" w:right="0" w:hanging="0"/>
        <w:rPr>
          <w:color w:val="FF0000"/>
        </w:rPr>
      </w:pPr>
      <w:r>
        <w:rPr>
          <w:color w:val="000000"/>
        </w:rPr>
        <w:t>Контактные телефоны:</w:t>
      </w:r>
      <w:r/>
    </w:p>
    <w:p>
      <w:pPr>
        <w:pStyle w:val="Normal"/>
        <w:spacing w:lineRule="auto" w:line="396" w:before="0" w:after="0"/>
        <w:ind w:left="0" w:right="0" w:hanging="0"/>
        <w:rPr>
          <w:color w:val="FF0000"/>
        </w:rPr>
      </w:pPr>
      <w:r>
        <w:rPr>
          <w:color w:val="000000"/>
        </w:rPr>
        <w:t>8 (8512) 51-23-56, 51-17-92 факс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000000"/>
        </w:rPr>
        <w:t xml:space="preserve">Донская Ольга Анатольевна— сот. 8 903 348 9545, e-mail: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estet@center-dt.ru</w:t>
      </w:r>
      <w:r>
        <w:rPr>
          <w:color w:val="000000"/>
        </w:rPr>
        <w:t xml:space="preserve"> 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000000"/>
        </w:rPr>
        <w:t>Докучаев Евгений Николаевич — сот. 8 902 117 9121.</w:t>
      </w:r>
      <w:r/>
    </w:p>
    <w:p>
      <w:pPr>
        <w:pStyle w:val="Normal"/>
        <w:spacing w:lineRule="auto" w:line="396" w:before="0" w:after="0"/>
        <w:ind w:left="0" w:right="0" w:hanging="0"/>
      </w:pPr>
      <w:r>
        <w:rPr>
          <w:color w:val="000000"/>
        </w:rPr>
        <w:t>Андрюхина Виктория Ивановна — сот. 8 9278 560 35 32</w:t>
      </w:r>
      <w:r/>
    </w:p>
    <w:p>
      <w:pPr>
        <w:pStyle w:val="Normal"/>
        <w:tabs>
          <w:tab w:val="center" w:pos="1496" w:leader="none"/>
          <w:tab w:val="center" w:pos="4988" w:leader="none"/>
        </w:tabs>
        <w:spacing w:lineRule="auto" w:line="396" w:before="0" w:after="0"/>
        <w:ind w:left="0" w:right="0" w:hanging="0"/>
        <w:jc w:val="left"/>
      </w:pPr>
      <w:r>
        <w:rPr>
          <w:color w:val="000000"/>
        </w:rPr>
        <w:tab/>
        <w:t xml:space="preserve">САЙТ: </w:t>
      </w:r>
      <w:hyperlink r:id="rId3">
        <w:r>
          <w:rPr>
            <w:rStyle w:val="Style14"/>
            <w:color w:val="000000"/>
            <w:u w:val="single" w:color="000000"/>
          </w:rPr>
          <w:t>www.centr-dt.ru</w:t>
        </w:r>
      </w:hyperlink>
      <w:r>
        <w:rPr>
          <w:color w:val="000000"/>
          <w:u w:val="single" w:color="000000"/>
        </w:rPr>
        <w:t xml:space="preserve"> </w:t>
      </w:r>
      <w:r>
        <w:rPr>
          <w:color w:val="000000"/>
          <w:u w:val="none" w:color="000000"/>
        </w:rPr>
        <w:t xml:space="preserve">  </w:t>
      </w:r>
      <w:r/>
    </w:p>
    <w:p>
      <w:pPr>
        <w:pStyle w:val="Normal"/>
        <w:tabs>
          <w:tab w:val="center" w:pos="1496" w:leader="none"/>
          <w:tab w:val="center" w:pos="4988" w:leader="none"/>
        </w:tabs>
        <w:spacing w:lineRule="auto" w:line="396" w:before="0" w:after="0"/>
        <w:ind w:left="0" w:right="0" w:hanging="0"/>
        <w:jc w:val="left"/>
        <w:rPr>
          <w:sz w:val="24"/>
          <w:sz w:val="24"/>
          <w:szCs w:val="22"/>
          <w:rFonts w:ascii="Times New Roman" w:hAnsi="Times New Roman" w:eastAsia="Times New Roman" w:cs="Times New Roman"/>
          <w:color w:val="FF0000"/>
          <w:lang w:val="ru-RU" w:eastAsia="ru-RU" w:bidi="ar-SA"/>
        </w:rPr>
      </w:pPr>
      <w:r>
        <w:rPr>
          <w:rFonts w:eastAsia="Times New Roman" w:cs="Times New Roman"/>
          <w:color w:val="FF0000"/>
          <w:sz w:val="24"/>
          <w:szCs w:val="22"/>
          <w:lang w:val="ru-RU" w:eastAsia="ru-RU" w:bidi="ar-SA"/>
        </w:rPr>
      </w:r>
      <w:r/>
    </w:p>
    <w:p>
      <w:pPr>
        <w:pStyle w:val="Normal"/>
        <w:tabs>
          <w:tab w:val="center" w:pos="1496" w:leader="none"/>
          <w:tab w:val="center" w:pos="4988" w:leader="none"/>
        </w:tabs>
        <w:spacing w:lineRule="auto" w:line="396" w:before="0" w:after="0"/>
        <w:ind w:left="0" w:right="0" w:hanging="0"/>
        <w:jc w:val="center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584" w:right="713" w:header="0" w:top="1100" w:footer="0" w:bottom="15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1">
      <w:start w:val="1"/>
      <w:numFmt w:val="bullet"/>
      <w:lvlText w:val="o"/>
      <w:lvlJc w:val="left"/>
      <w:pPr>
        <w:ind w:left="111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2">
      <w:start w:val="1"/>
      <w:numFmt w:val="bullet"/>
      <w:lvlText w:val="▪"/>
      <w:lvlJc w:val="left"/>
      <w:pPr>
        <w:ind w:left="183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3">
      <w:start w:val="1"/>
      <w:numFmt w:val="bullet"/>
      <w:lvlText w:val="•"/>
      <w:lvlJc w:val="left"/>
      <w:pPr>
        <w:ind w:left="255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4">
      <w:start w:val="1"/>
      <w:numFmt w:val="bullet"/>
      <w:lvlText w:val="o"/>
      <w:lvlJc w:val="left"/>
      <w:pPr>
        <w:ind w:left="327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5">
      <w:start w:val="1"/>
      <w:numFmt w:val="bullet"/>
      <w:lvlText w:val="▪"/>
      <w:lvlJc w:val="left"/>
      <w:pPr>
        <w:ind w:left="399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6">
      <w:start w:val="1"/>
      <w:numFmt w:val="bullet"/>
      <w:lvlText w:val="•"/>
      <w:lvlJc w:val="left"/>
      <w:pPr>
        <w:ind w:left="471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7">
      <w:start w:val="1"/>
      <w:numFmt w:val="bullet"/>
      <w:lvlText w:val="o"/>
      <w:lvlJc w:val="left"/>
      <w:pPr>
        <w:ind w:left="543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8">
      <w:start w:val="1"/>
      <w:numFmt w:val="bullet"/>
      <w:lvlText w:val="▪"/>
      <w:lvlJc w:val="left"/>
      <w:pPr>
        <w:ind w:left="615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</w:abstractNum>
  <w:abstractNum w:abstractNumId="2">
    <w:lvl w:ilvl="0">
      <w:start w:val="1"/>
      <w:numFmt w:val="decimal"/>
      <w:lvlText w:val="%1."/>
      <w:lvlJc w:val="left"/>
      <w:pPr>
        <w:ind w:left="91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-"/>
      <w:lvlJc w:val="left"/>
      <w:pPr>
        <w:ind w:left="419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2">
      <w:start w:val="1"/>
      <w:numFmt w:val="bullet"/>
      <w:lvlText w:val="▪"/>
      <w:lvlJc w:val="left"/>
      <w:pPr>
        <w:ind w:left="137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3">
      <w:start w:val="1"/>
      <w:numFmt w:val="bullet"/>
      <w:lvlText w:val="•"/>
      <w:lvlJc w:val="left"/>
      <w:pPr>
        <w:ind w:left="209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4">
      <w:start w:val="1"/>
      <w:numFmt w:val="bullet"/>
      <w:lvlText w:val="o"/>
      <w:lvlJc w:val="left"/>
      <w:pPr>
        <w:ind w:left="281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5">
      <w:start w:val="1"/>
      <w:numFmt w:val="bullet"/>
      <w:lvlText w:val="▪"/>
      <w:lvlJc w:val="left"/>
      <w:pPr>
        <w:ind w:left="353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6">
      <w:start w:val="1"/>
      <w:numFmt w:val="bullet"/>
      <w:lvlText w:val="•"/>
      <w:lvlJc w:val="left"/>
      <w:pPr>
        <w:ind w:left="425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7">
      <w:start w:val="1"/>
      <w:numFmt w:val="bullet"/>
      <w:lvlText w:val="o"/>
      <w:lvlJc w:val="left"/>
      <w:pPr>
        <w:ind w:left="497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  <w:lvl w:ilvl="8">
      <w:start w:val="1"/>
      <w:numFmt w:val="bullet"/>
      <w:lvlText w:val="▪"/>
      <w:lvlJc w:val="left"/>
      <w:pPr>
        <w:ind w:left="569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FFFFFF" w:val="clear"/>
        <w:szCs w:val="26"/>
      </w:rPr>
    </w:lvl>
  </w:abstractNum>
  <w:abstractNum w:abstractNumId="3">
    <w:lvl w:ilvl="0">
      <w:start w:val="1"/>
      <w:numFmt w:val="bullet"/>
      <w:lvlText w:val="-"/>
      <w:lvlJc w:val="left"/>
      <w:pPr>
        <w:ind w:left="6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1">
      <w:start w:val="1"/>
      <w:numFmt w:val="bullet"/>
      <w:lvlText w:val="o"/>
      <w:lvlJc w:val="left"/>
      <w:pPr>
        <w:ind w:left="117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2">
      <w:start w:val="1"/>
      <w:numFmt w:val="bullet"/>
      <w:lvlText w:val="▪"/>
      <w:lvlJc w:val="left"/>
      <w:pPr>
        <w:ind w:left="189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3">
      <w:start w:val="1"/>
      <w:numFmt w:val="bullet"/>
      <w:lvlText w:val="•"/>
      <w:lvlJc w:val="left"/>
      <w:pPr>
        <w:ind w:left="261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4">
      <w:start w:val="1"/>
      <w:numFmt w:val="bullet"/>
      <w:lvlText w:val="o"/>
      <w:lvlJc w:val="left"/>
      <w:pPr>
        <w:ind w:left="333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5">
      <w:start w:val="1"/>
      <w:numFmt w:val="bullet"/>
      <w:lvlText w:val="▪"/>
      <w:lvlJc w:val="left"/>
      <w:pPr>
        <w:ind w:left="405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6">
      <w:start w:val="1"/>
      <w:numFmt w:val="bullet"/>
      <w:lvlText w:val="•"/>
      <w:lvlJc w:val="left"/>
      <w:pPr>
        <w:ind w:left="477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7">
      <w:start w:val="1"/>
      <w:numFmt w:val="bullet"/>
      <w:lvlText w:val="o"/>
      <w:lvlJc w:val="left"/>
      <w:pPr>
        <w:ind w:left="549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  <w:lvl w:ilvl="8">
      <w:start w:val="1"/>
      <w:numFmt w:val="bullet"/>
      <w:lvlText w:val="▪"/>
      <w:lvlJc w:val="left"/>
      <w:pPr>
        <w:ind w:left="621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hd w:fill="FFFFFF" w:val="clear"/>
        <w:szCs w:val="3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4"/>
      <w:ind w:left="258" w:right="92" w:hanging="3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8c584a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2">
    <w:name w:val="ListLabel 2"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">
    <w:name w:val="ListLabel 3"/>
    <w:rPr>
      <w:rFonts w:eastAsia="Times New Roman" w:cs="Times New Roman"/>
      <w:i w:val="false"/>
      <w:color w:val="000000"/>
      <w:position w:val="0"/>
      <w:sz w:val="32"/>
      <w:sz w:val="32"/>
      <w:szCs w:val="32"/>
      <w:shd w:fill="FFFFFF" w:val="clear"/>
      <w:vertAlign w:val="baseline"/>
    </w:rPr>
  </w:style>
  <w:style w:type="character" w:styleId="ListLabel4">
    <w:name w:val="ListLabel 4"/>
    <w:rPr>
      <w:rFonts w:cs="Times New Roman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5">
    <w:name w:val="ListLabel 5"/>
    <w:rPr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6">
    <w:name w:val="ListLabel 6"/>
    <w:rPr>
      <w:rFonts w:cs="Times New Roman"/>
      <w:i w:val="false"/>
      <w:position w:val="0"/>
      <w:sz w:val="32"/>
      <w:sz w:val="32"/>
      <w:szCs w:val="32"/>
      <w:shd w:fill="FFFFFF" w:val="clear"/>
      <w:vertAlign w:val="baseline"/>
    </w:rPr>
  </w:style>
  <w:style w:type="character" w:styleId="ListLabel7">
    <w:name w:val="ListLabel 7"/>
    <w:rPr>
      <w:rFonts w:cs="Times New Roman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8">
    <w:name w:val="ListLabel 8"/>
    <w:rPr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9">
    <w:name w:val="ListLabel 9"/>
    <w:rPr>
      <w:rFonts w:cs="Times New Roman"/>
      <w:i w:val="false"/>
      <w:position w:val="0"/>
      <w:sz w:val="32"/>
      <w:sz w:val="32"/>
      <w:szCs w:val="32"/>
      <w:shd w:fill="FFFFFF" w:val="clear"/>
      <w:vertAlign w:val="baseline"/>
    </w:rPr>
  </w:style>
  <w:style w:type="character" w:styleId="ListLabel10">
    <w:name w:val="ListLabel 10"/>
    <w:rPr>
      <w:rFonts w:cs="Times New Roman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1">
    <w:name w:val="ListLabel 11"/>
    <w:rPr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12">
    <w:name w:val="ListLabel 12"/>
    <w:rPr>
      <w:rFonts w:cs="Times New Roman"/>
      <w:i w:val="false"/>
      <w:position w:val="0"/>
      <w:sz w:val="32"/>
      <w:sz w:val="32"/>
      <w:szCs w:val="32"/>
      <w:shd w:fill="FFFFFF" w:val="clear"/>
      <w:vertAlign w:val="baseline"/>
    </w:rPr>
  </w:style>
  <w:style w:type="character" w:styleId="ListLabel13">
    <w:name w:val="ListLabel 13"/>
    <w:rPr>
      <w:rFonts w:cs="Times New Roman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4">
    <w:name w:val="ListLabel 14"/>
    <w:rPr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15">
    <w:name w:val="ListLabel 15"/>
    <w:rPr>
      <w:rFonts w:cs="Times New Roman"/>
      <w:i w:val="false"/>
      <w:position w:val="0"/>
      <w:sz w:val="32"/>
      <w:sz w:val="32"/>
      <w:szCs w:val="32"/>
      <w:shd w:fill="FFFFFF" w:val="clear"/>
      <w:vertAlign w:val="baseline"/>
    </w:rPr>
  </w:style>
  <w:style w:type="character" w:styleId="ListLabel16">
    <w:name w:val="ListLabel 16"/>
    <w:rPr>
      <w:rFonts w:cs="Times New Roman"/>
      <w:b w:val="false"/>
      <w:i w:val="false"/>
      <w:strike w:val="false"/>
      <w:dstrike w:val="false"/>
      <w:position w:val="0"/>
      <w:sz w:val="26"/>
      <w:sz w:val="26"/>
      <w:szCs w:val="26"/>
      <w:u w:val="none" w:color="000000"/>
      <w:shd w:fill="FFFFFF" w:val="clear"/>
      <w:vertAlign w:val="baseline"/>
    </w:rPr>
  </w:style>
  <w:style w:type="character" w:styleId="ListLabel17">
    <w:name w:val="ListLabel 17"/>
    <w:rPr>
      <w:b w:val="false"/>
      <w:i w:val="false"/>
      <w:strike w:val="false"/>
      <w:dstrike w:val="false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18">
    <w:name w:val="ListLabel 18"/>
    <w:rPr>
      <w:rFonts w:cs="Times New Roman"/>
      <w:b w:val="false"/>
      <w:i w:val="false"/>
      <w:strike w:val="false"/>
      <w:dstrike w:val="false"/>
      <w:position w:val="0"/>
      <w:sz w:val="32"/>
      <w:sz w:val="32"/>
      <w:szCs w:val="32"/>
      <w:u w:val="none" w:color="000000"/>
      <w:shd w:fill="FFFFFF" w:val="clear"/>
      <w:vertAlign w:val="baselin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584a"/>
    <w:pPr>
      <w:spacing w:before="0" w:after="4"/>
      <w:ind w:left="720" w:right="92" w:hanging="3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ntr-d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Application>LibreOffice/4.3.4.1$Windows_x86 LibreOffice_project/bc356b2f991740509f321d70e4512a6a54c5f243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2018-01-15T22:13:00Z</dcterms:created>
  <dc:creator>Comp12</dc:creator>
  <dc:language>ru-RU</dc:language>
  <dcterms:modified xsi:type="dcterms:W3CDTF">2018-05-23T09:25:10Z</dcterms:modified>
  <cp:revision>10</cp:revision>
</cp:coreProperties>
</file>